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BC1" w:rsidRPr="00DE4BC1" w:rsidRDefault="003759DC" w:rsidP="00551338">
      <w:pPr>
        <w:pStyle w:val="Heading1"/>
        <w:spacing w:before="240"/>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-457200</wp:posOffset>
                </wp:positionV>
                <wp:extent cx="1828800" cy="377825"/>
                <wp:effectExtent l="0" t="0" r="0" b="3175"/>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338" w:rsidRPr="00BF4E26" w:rsidRDefault="00551338" w:rsidP="00551338">
                            <w:pPr>
                              <w:rPr>
                                <w:rFonts w:ascii="Papyrus" w:hAnsi="Papyrus"/>
                                <w:color w:val="403152"/>
                                <w:sz w:val="16"/>
                              </w:rPr>
                            </w:pPr>
                            <w:r w:rsidRPr="00BF4E26">
                              <w:rPr>
                                <w:rFonts w:ascii="Papyrus" w:hAnsi="Papyrus"/>
                                <w:color w:val="403152"/>
                                <w:sz w:val="16"/>
                              </w:rPr>
                              <w:t>Data Literacy Project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0;margin-top:-35.95pt;width:2in;height: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" filled="f" stroked="f">
                <v:textbox inset=",7.2pt,,7.2pt">
                  <w:txbxContent>
                    <w:p w:rsidR="00551338" w:rsidRPr="00BF4E26" w:rsidRDefault="00551338" w:rsidP="00551338">
                      <w:pPr>
                        <w:rPr>
                          <w:rFonts w:ascii="Papyrus" w:hAnsi="Papyrus"/>
                          <w:color w:val="403152"/>
                          <w:sz w:val="16"/>
                        </w:rPr>
                      </w:pPr>
                      <w:r w:rsidRPr="00BF4E26">
                        <w:rPr>
                          <w:rFonts w:ascii="Papyrus" w:hAnsi="Papyrus"/>
                          <w:color w:val="403152"/>
                          <w:sz w:val="16"/>
                        </w:rPr>
                        <w:t>Data Literacy Project</w:t>
                      </w:r>
                    </w:p>
                  </w:txbxContent>
                </v:textbox>
                <w10:wrap type="tight"/>
              </v:shape>
            </w:pict>
          </mc:Fallback>
        </mc:AlternateContent>
      </w:r>
      <w:r>
        <w:rPr>
          <w:b w:val="0"/>
          <w:bCs w:val="0"/>
          <w:noProof/>
        </w:rPr>
        <w:drawing>
          <wp:anchor distT="0" distB="0" distL="114300" distR="114300" simplePos="0" relativeHeight="251657216" behindDoc="0" locked="0" layoutInCell="1" allowOverlap="1">
            <wp:simplePos x="0" y="0"/>
            <wp:positionH relativeFrom="column">
              <wp:posOffset>-685800</wp:posOffset>
            </wp:positionH>
            <wp:positionV relativeFrom="paragraph">
              <wp:posOffset>-457200</wp:posOffset>
            </wp:positionV>
            <wp:extent cx="604520" cy="457200"/>
            <wp:effectExtent l="0" t="0" r="5080" b="0"/>
            <wp:wrapTight wrapText="bothSides">
              <wp:wrapPolygon edited="0">
                <wp:start x="0" y="0"/>
                <wp:lineTo x="0" y="20400"/>
                <wp:lineTo x="20874" y="20400"/>
                <wp:lineTo x="208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4BC1">
        <w:t>Milk production</w:t>
      </w:r>
    </w:p>
    <w:p w:rsidR="00551338" w:rsidRPr="00D42CDA" w:rsidRDefault="00551338" w:rsidP="00551338">
      <w:pPr>
        <w:pStyle w:val="Heading1"/>
        <w:spacing w:before="240"/>
        <w:rPr>
          <w:b w:val="0"/>
          <w:color w:val="auto"/>
          <w:sz w:val="24"/>
        </w:rPr>
      </w:pPr>
      <w:r w:rsidRPr="00DE4BC1">
        <w:rPr>
          <w:sz w:val="28"/>
        </w:rPr>
        <w:t>Background:</w:t>
      </w:r>
      <w:r>
        <w:t xml:space="preserve"> </w:t>
      </w:r>
      <w:r>
        <w:rPr>
          <w:b w:val="0"/>
          <w:color w:val="auto"/>
          <w:sz w:val="24"/>
        </w:rPr>
        <w:t xml:space="preserve">Each year, the US Department of Agriculture collects information about how much milk is produced in the United States. The data are categorized by state and region and also include the numbers of milk cows that live in each state. </w:t>
      </w:r>
    </w:p>
    <w:p w:rsidR="00551338" w:rsidRPr="00A849FC" w:rsidRDefault="00551338" w:rsidP="00551338">
      <w:pPr>
        <w:pStyle w:val="Heading1"/>
        <w:spacing w:before="240"/>
        <w:rPr>
          <w:b w:val="0"/>
          <w:color w:val="auto"/>
          <w:sz w:val="24"/>
        </w:rPr>
      </w:pPr>
      <w:r w:rsidRPr="00DE4BC1">
        <w:rPr>
          <w:sz w:val="28"/>
        </w:rPr>
        <w:t>Question:</w:t>
      </w:r>
      <w:r>
        <w:t xml:space="preserve"> </w:t>
      </w:r>
      <w:r>
        <w:rPr>
          <w:b w:val="0"/>
          <w:color w:val="auto"/>
          <w:sz w:val="24"/>
        </w:rPr>
        <w:t>Is the amount of milk that a state produces associated with the number of milk cows that are raised in that state?</w:t>
      </w:r>
    </w:p>
    <w:p w:rsidR="00551338" w:rsidRPr="00DE4BC1" w:rsidRDefault="00551338" w:rsidP="00551338">
      <w:pPr>
        <w:pStyle w:val="Heading1"/>
        <w:spacing w:before="240"/>
        <w:rPr>
          <w:b w:val="0"/>
          <w:color w:val="auto"/>
          <w:sz w:val="28"/>
        </w:rPr>
      </w:pPr>
      <w:r w:rsidRPr="00DE4BC1">
        <w:rPr>
          <w:sz w:val="28"/>
        </w:rPr>
        <w:t>Evidence:</w:t>
      </w:r>
    </w:p>
    <w:p w:rsidR="00551338" w:rsidRPr="00DE4BC1" w:rsidRDefault="003759DC" w:rsidP="00551338">
      <w:pPr>
        <w:rPr>
          <w:sz w:val="28"/>
        </w:rPr>
      </w:pPr>
      <w:r>
        <w:rPr>
          <w:noProof/>
          <w:sz w:val="28"/>
        </w:rPr>
        <w:drawing>
          <wp:inline distT="0" distB="0" distL="0" distR="0">
            <wp:extent cx="5240020" cy="3030220"/>
            <wp:effectExtent l="0" t="0" r="17780" b="17780"/>
            <wp:docPr id="1" name="C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51338" w:rsidRDefault="00551338" w:rsidP="00551338">
      <w:pPr>
        <w:rPr>
          <w:b/>
          <w:i/>
          <w:sz w:val="20"/>
        </w:rPr>
      </w:pPr>
    </w:p>
    <w:p w:rsidR="00551338" w:rsidRPr="00FB550C" w:rsidRDefault="00551338" w:rsidP="00551338">
      <w:pPr>
        <w:rPr>
          <w:i/>
          <w:sz w:val="20"/>
        </w:rPr>
      </w:pPr>
      <w:r w:rsidRPr="00FB550C">
        <w:rPr>
          <w:b/>
          <w:i/>
          <w:sz w:val="20"/>
        </w:rPr>
        <w:t xml:space="preserve">Data Source: </w:t>
      </w:r>
      <w:r w:rsidRPr="00FB550C">
        <w:rPr>
          <w:i/>
          <w:sz w:val="20"/>
        </w:rPr>
        <w:t>US Department of Agriculture, Economic Research Service</w:t>
      </w:r>
      <w:r>
        <w:rPr>
          <w:i/>
          <w:sz w:val="20"/>
        </w:rPr>
        <w:t xml:space="preserve"> &lt;http://www.ers.usda.gov/ data-products/dairy-data.aspx&gt;, </w:t>
      </w:r>
      <w:r w:rsidRPr="00FB550C">
        <w:rPr>
          <w:i/>
          <w:sz w:val="20"/>
        </w:rPr>
        <w:t>Milk cows and production by State and region (Annual)</w:t>
      </w:r>
      <w:r>
        <w:rPr>
          <w:i/>
          <w:sz w:val="20"/>
        </w:rPr>
        <w:t>.</w:t>
      </w:r>
    </w:p>
    <w:p w:rsidR="00551338" w:rsidRPr="00FB550C" w:rsidRDefault="00551338" w:rsidP="00551338">
      <w:pPr>
        <w:rPr>
          <w:i/>
          <w:sz w:val="20"/>
        </w:rPr>
      </w:pPr>
    </w:p>
    <w:p w:rsidR="00551338" w:rsidRDefault="00551338" w:rsidP="00551338"/>
    <w:p w:rsidR="00551338" w:rsidRDefault="00551338" w:rsidP="00551338">
      <w:pPr>
        <w:numPr>
          <w:ilvl w:val="0"/>
          <w:numId w:val="1"/>
        </w:numPr>
      </w:pPr>
      <w:r>
        <w:t xml:space="preserve">What kind of graph is this?  </w:t>
      </w:r>
    </w:p>
    <w:p w:rsidR="00551338" w:rsidRDefault="00551338" w:rsidP="00551338">
      <w:pPr>
        <w:ind w:left="720"/>
      </w:pPr>
    </w:p>
    <w:p w:rsidR="00551338" w:rsidRDefault="00551338" w:rsidP="00551338">
      <w:pPr>
        <w:ind w:left="720"/>
      </w:pPr>
    </w:p>
    <w:p w:rsidR="00551338" w:rsidRDefault="00551338" w:rsidP="00551338">
      <w:pPr>
        <w:numPr>
          <w:ilvl w:val="0"/>
          <w:numId w:val="1"/>
        </w:numPr>
      </w:pPr>
      <w:r>
        <w:t>What does each dot in the graph represent?</w:t>
      </w:r>
    </w:p>
    <w:p w:rsidR="00551338" w:rsidRDefault="00551338" w:rsidP="00551338"/>
    <w:p w:rsidR="00551338" w:rsidRDefault="00551338" w:rsidP="00551338"/>
    <w:p w:rsidR="00551338" w:rsidRDefault="00551338" w:rsidP="00551338"/>
    <w:p w:rsidR="00551338" w:rsidRDefault="00551338" w:rsidP="00551338">
      <w:pPr>
        <w:numPr>
          <w:ilvl w:val="0"/>
          <w:numId w:val="1"/>
        </w:numPr>
      </w:pPr>
      <w:r>
        <w:t xml:space="preserve">What claim can you make about the association between the number of milk cows being raised in the United States and the amount of milk our country produces? </w:t>
      </w:r>
    </w:p>
    <w:p w:rsidR="00551338" w:rsidRDefault="00551338" w:rsidP="00551338"/>
    <w:p w:rsidR="00551338" w:rsidRPr="00D27B40" w:rsidRDefault="00551338">
      <w:pPr>
        <w:rPr>
          <w:color w:val="FF0000"/>
        </w:rPr>
      </w:pPr>
    </w:p>
    <w:sectPr w:rsidR="00551338" w:rsidRPr="00D27B40" w:rsidSect="00551338">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759DC">
      <w:r>
        <w:separator/>
      </w:r>
    </w:p>
  </w:endnote>
  <w:endnote w:type="continuationSeparator" w:id="0">
    <w:p w:rsidR="00000000" w:rsidRDefault="0037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DC" w:rsidRDefault="003759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338" w:rsidRPr="00353375" w:rsidRDefault="00551338">
    <w:pPr>
      <w:pStyle w:val="Footer"/>
      <w:rPr>
        <w:rFonts w:ascii="Times New Roman" w:hAnsi="Times New Roman"/>
        <w:sz w:val="18"/>
      </w:rPr>
    </w:pPr>
    <w:r>
      <w:rPr>
        <w:rFonts w:ascii="Times New Roman" w:hAnsi="Times New Roman"/>
        <w:sz w:val="18"/>
      </w:rPr>
      <w:t>Data source: DL_MilkProductionData_040413.xls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DC" w:rsidRDefault="003759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759DC">
      <w:r>
        <w:separator/>
      </w:r>
    </w:p>
  </w:footnote>
  <w:footnote w:type="continuationSeparator" w:id="0">
    <w:p w:rsidR="00000000" w:rsidRDefault="003759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DC" w:rsidRDefault="003759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338" w:rsidRPr="00D22EBD" w:rsidRDefault="00551338" w:rsidP="00551338">
    <w:pPr>
      <w:pStyle w:val="Header"/>
      <w:jc w:val="right"/>
      <w:rPr>
        <w:rFonts w:ascii="Times New Roman" w:hAnsi="Times New Roman"/>
        <w:color w:val="7F7F7F"/>
        <w:sz w:val="18"/>
      </w:rPr>
    </w:pPr>
    <w:r>
      <w:rPr>
        <w:rFonts w:ascii="Times New Roman" w:hAnsi="Times New Roman"/>
        <w:color w:val="7F7F7F"/>
        <w:sz w:val="18"/>
      </w:rPr>
      <w:t>ML4-PRAC_MilkProduction.doc</w:t>
    </w:r>
    <w:r w:rsidR="003759DC">
      <w:rPr>
        <w:rFonts w:ascii="Times New Roman" w:hAnsi="Times New Roman"/>
        <w:color w:val="7F7F7F"/>
        <w:sz w:val="18"/>
      </w:rPr>
      <w:t>x 21NOV2013</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DC" w:rsidRDefault="003759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C25E2"/>
    <w:multiLevelType w:val="hybridMultilevel"/>
    <w:tmpl w:val="D3388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89"/>
    <w:rsid w:val="003759DC"/>
    <w:rsid w:val="00551338"/>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090"/>
    <w:rPr>
      <w:sz w:val="24"/>
      <w:szCs w:val="24"/>
    </w:rPr>
  </w:style>
  <w:style w:type="paragraph" w:styleId="Heading1">
    <w:name w:val="heading 1"/>
    <w:basedOn w:val="Normal"/>
    <w:next w:val="Normal"/>
    <w:link w:val="Heading1Char"/>
    <w:uiPriority w:val="9"/>
    <w:qFormat/>
    <w:rsid w:val="00E54DEB"/>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87F77"/>
    <w:pPr>
      <w:tabs>
        <w:tab w:val="center" w:pos="4320"/>
        <w:tab w:val="right" w:pos="8640"/>
      </w:tabs>
    </w:pPr>
  </w:style>
  <w:style w:type="character" w:customStyle="1" w:styleId="HeaderChar">
    <w:name w:val="Header Char"/>
    <w:basedOn w:val="DefaultParagraphFont"/>
    <w:link w:val="Header"/>
    <w:uiPriority w:val="99"/>
    <w:rsid w:val="00D87F77"/>
    <w:rPr>
      <w:sz w:val="24"/>
      <w:szCs w:val="24"/>
    </w:rPr>
  </w:style>
  <w:style w:type="paragraph" w:styleId="Footer">
    <w:name w:val="footer"/>
    <w:basedOn w:val="Normal"/>
    <w:link w:val="FooterChar"/>
    <w:uiPriority w:val="99"/>
    <w:unhideWhenUsed/>
    <w:rsid w:val="00D87F77"/>
    <w:pPr>
      <w:tabs>
        <w:tab w:val="center" w:pos="4320"/>
        <w:tab w:val="right" w:pos="8640"/>
      </w:tabs>
    </w:pPr>
  </w:style>
  <w:style w:type="character" w:customStyle="1" w:styleId="FooterChar">
    <w:name w:val="Footer Char"/>
    <w:basedOn w:val="DefaultParagraphFont"/>
    <w:link w:val="Footer"/>
    <w:uiPriority w:val="99"/>
    <w:rsid w:val="00D87F77"/>
    <w:rPr>
      <w:sz w:val="24"/>
      <w:szCs w:val="24"/>
    </w:rPr>
  </w:style>
  <w:style w:type="character" w:customStyle="1" w:styleId="Heading1Char">
    <w:name w:val="Heading 1 Char"/>
    <w:basedOn w:val="DefaultParagraphFont"/>
    <w:link w:val="Heading1"/>
    <w:uiPriority w:val="9"/>
    <w:rsid w:val="00E54DEB"/>
    <w:rPr>
      <w:rFonts w:ascii="Calibri" w:eastAsia="Times New Roman" w:hAnsi="Calibri"/>
      <w:b/>
      <w:bCs/>
      <w:color w:val="345A8A"/>
      <w:sz w:val="32"/>
      <w:szCs w:val="32"/>
    </w:rPr>
  </w:style>
  <w:style w:type="paragraph" w:styleId="NormalWeb">
    <w:name w:val="Normal (Web)"/>
    <w:basedOn w:val="Normal"/>
    <w:uiPriority w:val="99"/>
    <w:rsid w:val="00664459"/>
    <w:pPr>
      <w:spacing w:beforeLines="1" w:afterLines="1"/>
    </w:pPr>
    <w:rPr>
      <w:rFonts w:ascii="Times" w:hAnsi="Times"/>
      <w:sz w:val="20"/>
      <w:szCs w:val="20"/>
    </w:rPr>
  </w:style>
  <w:style w:type="character" w:styleId="Hyperlink">
    <w:name w:val="Hyperlink"/>
    <w:basedOn w:val="DefaultParagraphFont"/>
    <w:uiPriority w:val="99"/>
    <w:semiHidden/>
    <w:unhideWhenUsed/>
    <w:rsid w:val="001571A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090"/>
    <w:rPr>
      <w:sz w:val="24"/>
      <w:szCs w:val="24"/>
    </w:rPr>
  </w:style>
  <w:style w:type="paragraph" w:styleId="Heading1">
    <w:name w:val="heading 1"/>
    <w:basedOn w:val="Normal"/>
    <w:next w:val="Normal"/>
    <w:link w:val="Heading1Char"/>
    <w:uiPriority w:val="9"/>
    <w:qFormat/>
    <w:rsid w:val="00E54DEB"/>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87F77"/>
    <w:pPr>
      <w:tabs>
        <w:tab w:val="center" w:pos="4320"/>
        <w:tab w:val="right" w:pos="8640"/>
      </w:tabs>
    </w:pPr>
  </w:style>
  <w:style w:type="character" w:customStyle="1" w:styleId="HeaderChar">
    <w:name w:val="Header Char"/>
    <w:basedOn w:val="DefaultParagraphFont"/>
    <w:link w:val="Header"/>
    <w:uiPriority w:val="99"/>
    <w:rsid w:val="00D87F77"/>
    <w:rPr>
      <w:sz w:val="24"/>
      <w:szCs w:val="24"/>
    </w:rPr>
  </w:style>
  <w:style w:type="paragraph" w:styleId="Footer">
    <w:name w:val="footer"/>
    <w:basedOn w:val="Normal"/>
    <w:link w:val="FooterChar"/>
    <w:uiPriority w:val="99"/>
    <w:unhideWhenUsed/>
    <w:rsid w:val="00D87F77"/>
    <w:pPr>
      <w:tabs>
        <w:tab w:val="center" w:pos="4320"/>
        <w:tab w:val="right" w:pos="8640"/>
      </w:tabs>
    </w:pPr>
  </w:style>
  <w:style w:type="character" w:customStyle="1" w:styleId="FooterChar">
    <w:name w:val="Footer Char"/>
    <w:basedOn w:val="DefaultParagraphFont"/>
    <w:link w:val="Footer"/>
    <w:uiPriority w:val="99"/>
    <w:rsid w:val="00D87F77"/>
    <w:rPr>
      <w:sz w:val="24"/>
      <w:szCs w:val="24"/>
    </w:rPr>
  </w:style>
  <w:style w:type="character" w:customStyle="1" w:styleId="Heading1Char">
    <w:name w:val="Heading 1 Char"/>
    <w:basedOn w:val="DefaultParagraphFont"/>
    <w:link w:val="Heading1"/>
    <w:uiPriority w:val="9"/>
    <w:rsid w:val="00E54DEB"/>
    <w:rPr>
      <w:rFonts w:ascii="Calibri" w:eastAsia="Times New Roman" w:hAnsi="Calibri"/>
      <w:b/>
      <w:bCs/>
      <w:color w:val="345A8A"/>
      <w:sz w:val="32"/>
      <w:szCs w:val="32"/>
    </w:rPr>
  </w:style>
  <w:style w:type="paragraph" w:styleId="NormalWeb">
    <w:name w:val="Normal (Web)"/>
    <w:basedOn w:val="Normal"/>
    <w:uiPriority w:val="99"/>
    <w:rsid w:val="00664459"/>
    <w:pPr>
      <w:spacing w:beforeLines="1" w:afterLines="1"/>
    </w:pPr>
    <w:rPr>
      <w:rFonts w:ascii="Times" w:hAnsi="Times"/>
      <w:sz w:val="20"/>
      <w:szCs w:val="20"/>
    </w:rPr>
  </w:style>
  <w:style w:type="character" w:styleId="Hyperlink">
    <w:name w:val="Hyperlink"/>
    <w:basedOn w:val="DefaultParagraphFont"/>
    <w:uiPriority w:val="99"/>
    <w:semiHidden/>
    <w:unhideWhenUsed/>
    <w:rsid w:val="001571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411184">
      <w:bodyDiv w:val="1"/>
      <w:marLeft w:val="0"/>
      <w:marRight w:val="0"/>
      <w:marTop w:val="0"/>
      <w:marBottom w:val="0"/>
      <w:divBdr>
        <w:top w:val="none" w:sz="0" w:space="0" w:color="auto"/>
        <w:left w:val="none" w:sz="0" w:space="0" w:color="auto"/>
        <w:bottom w:val="none" w:sz="0" w:space="0" w:color="auto"/>
        <w:right w:val="none" w:sz="0" w:space="0" w:color="auto"/>
      </w:divBdr>
    </w:div>
    <w:div w:id="16490879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chart" Target="charts/chart1.xml"/><Relationship Id="rId1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truebodyproducts4:Documents:Data%20Literacy%20SERC:SugarSync%20Shared%20Folders:M%20Schauffler:DataSets%20in%20Progress:DL_MilkProductionData_0404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United States Milk Production in 2010</a:t>
            </a:r>
          </a:p>
        </c:rich>
      </c:tx>
      <c:layout/>
      <c:overlay val="1"/>
    </c:title>
    <c:autoTitleDeleted val="0"/>
    <c:plotArea>
      <c:layout/>
      <c:scatterChart>
        <c:scatterStyle val="lineMarker"/>
        <c:varyColors val="1"/>
        <c:ser>
          <c:idx val="0"/>
          <c:order val="0"/>
          <c:tx>
            <c:strRef>
              <c:f>'Working Data'!$D$1</c:f>
              <c:strCache>
                <c:ptCount val="1"/>
                <c:pt idx="0">
                  <c:v>Milk Production in 2010 (millions of pounds)</c:v>
                </c:pt>
              </c:strCache>
            </c:strRef>
          </c:tx>
          <c:spPr>
            <a:ln w="28575">
              <a:noFill/>
            </a:ln>
          </c:spPr>
          <c:xVal>
            <c:numRef>
              <c:f>'Working Data'!$C$2:$C$51</c:f>
              <c:numCache>
                <c:formatCode>General</c:formatCode>
                <c:ptCount val="50"/>
                <c:pt idx="0">
                  <c:v>32.0</c:v>
                </c:pt>
                <c:pt idx="1">
                  <c:v>15.0</c:v>
                </c:pt>
                <c:pt idx="2">
                  <c:v>136.0</c:v>
                </c:pt>
                <c:pt idx="3">
                  <c:v>14.0</c:v>
                </c:pt>
                <c:pt idx="4">
                  <c:v>1.1</c:v>
                </c:pt>
                <c:pt idx="5">
                  <c:v>19.0</c:v>
                </c:pt>
                <c:pt idx="6">
                  <c:v>611.0</c:v>
                </c:pt>
                <c:pt idx="7">
                  <c:v>8.0</c:v>
                </c:pt>
                <c:pt idx="8">
                  <c:v>541.0</c:v>
                </c:pt>
                <c:pt idx="9">
                  <c:v>5.3</c:v>
                </c:pt>
                <c:pt idx="10">
                  <c:v>54.0</c:v>
                </c:pt>
                <c:pt idx="11">
                  <c:v>14.0</c:v>
                </c:pt>
                <c:pt idx="12">
                  <c:v>564.0</c:v>
                </c:pt>
                <c:pt idx="13">
                  <c:v>6.0</c:v>
                </c:pt>
                <c:pt idx="14">
                  <c:v>119.0</c:v>
                </c:pt>
                <c:pt idx="15">
                  <c:v>321.0</c:v>
                </c:pt>
                <c:pt idx="16">
                  <c:v>177.0</c:v>
                </c:pt>
                <c:pt idx="17">
                  <c:v>85.0</c:v>
                </c:pt>
                <c:pt idx="18">
                  <c:v>28.0</c:v>
                </c:pt>
                <c:pt idx="19">
                  <c:v>358.0</c:v>
                </c:pt>
                <c:pt idx="20">
                  <c:v>1262.0</c:v>
                </c:pt>
                <c:pt idx="21">
                  <c:v>470.0</c:v>
                </c:pt>
                <c:pt idx="22">
                  <c:v>271.0</c:v>
                </c:pt>
                <c:pt idx="23">
                  <c:v>170.0</c:v>
                </c:pt>
                <c:pt idx="24">
                  <c:v>100.0</c:v>
                </c:pt>
                <c:pt idx="25">
                  <c:v>210.0</c:v>
                </c:pt>
                <c:pt idx="26">
                  <c:v>99.0</c:v>
                </c:pt>
                <c:pt idx="27">
                  <c:v>21.0</c:v>
                </c:pt>
                <c:pt idx="28">
                  <c:v>92.0</c:v>
                </c:pt>
                <c:pt idx="29">
                  <c:v>59.0</c:v>
                </c:pt>
                <c:pt idx="30">
                  <c:v>119.0</c:v>
                </c:pt>
                <c:pt idx="31">
                  <c:v>95.0</c:v>
                </c:pt>
                <c:pt idx="32">
                  <c:v>10.0</c:v>
                </c:pt>
                <c:pt idx="33">
                  <c:v>44.0</c:v>
                </c:pt>
                <c:pt idx="34">
                  <c:v>78.0</c:v>
                </c:pt>
                <c:pt idx="35">
                  <c:v>52.0</c:v>
                </c:pt>
                <c:pt idx="36">
                  <c:v>16.0</c:v>
                </c:pt>
                <c:pt idx="37">
                  <c:v>79.0</c:v>
                </c:pt>
                <c:pt idx="38">
                  <c:v>114.0</c:v>
                </c:pt>
                <c:pt idx="39">
                  <c:v>11.0</c:v>
                </c:pt>
                <c:pt idx="40">
                  <c:v>17.0</c:v>
                </c:pt>
                <c:pt idx="41">
                  <c:v>12.0</c:v>
                </c:pt>
                <c:pt idx="42">
                  <c:v>20.0</c:v>
                </c:pt>
                <c:pt idx="43">
                  <c:v>56.0</c:v>
                </c:pt>
                <c:pt idx="44">
                  <c:v>413.0</c:v>
                </c:pt>
                <c:pt idx="45">
                  <c:v>251.0</c:v>
                </c:pt>
                <c:pt idx="46">
                  <c:v>118.0</c:v>
                </c:pt>
                <c:pt idx="47">
                  <c:v>1754.0</c:v>
                </c:pt>
                <c:pt idx="48">
                  <c:v>0.6</c:v>
                </c:pt>
                <c:pt idx="49">
                  <c:v>1.9</c:v>
                </c:pt>
              </c:numCache>
            </c:numRef>
          </c:xVal>
          <c:yVal>
            <c:numRef>
              <c:f>'Working Data'!$D$2:$D$51</c:f>
              <c:numCache>
                <c:formatCode>#,##0_);\(#,##0\)</c:formatCode>
                <c:ptCount val="50"/>
                <c:pt idx="0">
                  <c:v>583.0</c:v>
                </c:pt>
                <c:pt idx="1">
                  <c:v>292.0</c:v>
                </c:pt>
                <c:pt idx="2">
                  <c:v>2504.0</c:v>
                </c:pt>
                <c:pt idx="3">
                  <c:v>240.0</c:v>
                </c:pt>
                <c:pt idx="4">
                  <c:v>19.4</c:v>
                </c:pt>
                <c:pt idx="5">
                  <c:v>361.0</c:v>
                </c:pt>
                <c:pt idx="6">
                  <c:v>12681.0</c:v>
                </c:pt>
                <c:pt idx="7">
                  <c:v>138.0</c:v>
                </c:pt>
                <c:pt idx="8">
                  <c:v>10683.0</c:v>
                </c:pt>
                <c:pt idx="9">
                  <c:v>89.0</c:v>
                </c:pt>
                <c:pt idx="10">
                  <c:v>993.0</c:v>
                </c:pt>
                <c:pt idx="11">
                  <c:v>284.0</c:v>
                </c:pt>
                <c:pt idx="12">
                  <c:v>12746.0</c:v>
                </c:pt>
                <c:pt idx="13">
                  <c:v>118.9</c:v>
                </c:pt>
                <c:pt idx="14">
                  <c:v>2785.0</c:v>
                </c:pt>
                <c:pt idx="15">
                  <c:v>7830.0</c:v>
                </c:pt>
                <c:pt idx="16">
                  <c:v>4136.0</c:v>
                </c:pt>
                <c:pt idx="17">
                  <c:v>1808.0</c:v>
                </c:pt>
                <c:pt idx="18">
                  <c:v>652.0</c:v>
                </c:pt>
                <c:pt idx="19">
                  <c:v>8306.0</c:v>
                </c:pt>
                <c:pt idx="20">
                  <c:v>25759.0</c:v>
                </c:pt>
                <c:pt idx="21">
                  <c:v>9002.0</c:v>
                </c:pt>
                <c:pt idx="22">
                  <c:v>5240.0</c:v>
                </c:pt>
                <c:pt idx="23">
                  <c:v>3390.0</c:v>
                </c:pt>
                <c:pt idx="24">
                  <c:v>1905.0</c:v>
                </c:pt>
                <c:pt idx="25">
                  <c:v>4337.0</c:v>
                </c:pt>
                <c:pt idx="26">
                  <c:v>1422.0</c:v>
                </c:pt>
                <c:pt idx="27">
                  <c:v>374.0</c:v>
                </c:pt>
                <c:pt idx="28">
                  <c:v>1877.0</c:v>
                </c:pt>
                <c:pt idx="29">
                  <c:v>1160.0</c:v>
                </c:pt>
                <c:pt idx="30">
                  <c:v>2485.0</c:v>
                </c:pt>
                <c:pt idx="31">
                  <c:v>1711.0</c:v>
                </c:pt>
                <c:pt idx="32">
                  <c:v>155.0</c:v>
                </c:pt>
                <c:pt idx="33">
                  <c:v>857.0</c:v>
                </c:pt>
                <c:pt idx="34">
                  <c:v>1141.0</c:v>
                </c:pt>
                <c:pt idx="35">
                  <c:v>846.0</c:v>
                </c:pt>
                <c:pt idx="36">
                  <c:v>283.0</c:v>
                </c:pt>
                <c:pt idx="37">
                  <c:v>1385.0</c:v>
                </c:pt>
                <c:pt idx="38">
                  <c:v>2121.0</c:v>
                </c:pt>
                <c:pt idx="39">
                  <c:v>158.0</c:v>
                </c:pt>
                <c:pt idx="40">
                  <c:v>221.0</c:v>
                </c:pt>
                <c:pt idx="41">
                  <c:v>151.0</c:v>
                </c:pt>
                <c:pt idx="42">
                  <c:v>230.0</c:v>
                </c:pt>
                <c:pt idx="43">
                  <c:v>950.0</c:v>
                </c:pt>
                <c:pt idx="44">
                  <c:v>8803.0</c:v>
                </c:pt>
                <c:pt idx="45">
                  <c:v>5885.0</c:v>
                </c:pt>
                <c:pt idx="46">
                  <c:v>2379.0</c:v>
                </c:pt>
                <c:pt idx="47">
                  <c:v>40355.0</c:v>
                </c:pt>
                <c:pt idx="48">
                  <c:v>6.6</c:v>
                </c:pt>
                <c:pt idx="49">
                  <c:v>25.0</c:v>
                </c:pt>
              </c:numCache>
            </c:numRef>
          </c:yVal>
          <c:smooth val="1"/>
        </c:ser>
        <c:dLbls>
          <c:showLegendKey val="0"/>
          <c:showVal val="0"/>
          <c:showCatName val="0"/>
          <c:showSerName val="0"/>
          <c:showPercent val="0"/>
          <c:showBubbleSize val="0"/>
        </c:dLbls>
        <c:axId val="590076312"/>
        <c:axId val="532369048"/>
      </c:scatterChart>
      <c:valAx>
        <c:axId val="590076312"/>
        <c:scaling>
          <c:orientation val="minMax"/>
        </c:scaling>
        <c:delete val="1"/>
        <c:axPos val="b"/>
        <c:title>
          <c:tx>
            <c:rich>
              <a:bodyPr/>
              <a:lstStyle/>
              <a:p>
                <a:pPr>
                  <a:defRPr/>
                </a:pPr>
                <a:r>
                  <a:rPr lang="en-US"/>
                  <a:t>Number of Milk Cows (thousands)</a:t>
                </a:r>
              </a:p>
            </c:rich>
          </c:tx>
          <c:layout/>
          <c:overlay val="1"/>
        </c:title>
        <c:numFmt formatCode="General" sourceLinked="1"/>
        <c:majorTickMark val="cross"/>
        <c:minorTickMark val="cross"/>
        <c:tickLblPos val="nextTo"/>
        <c:crossAx val="532369048"/>
        <c:crosses val="autoZero"/>
        <c:crossBetween val="midCat"/>
      </c:valAx>
      <c:valAx>
        <c:axId val="532369048"/>
        <c:scaling>
          <c:orientation val="minMax"/>
        </c:scaling>
        <c:delete val="1"/>
        <c:axPos val="l"/>
        <c:majorGridlines/>
        <c:title>
          <c:tx>
            <c:rich>
              <a:bodyPr/>
              <a:lstStyle/>
              <a:p>
                <a:pPr>
                  <a:defRPr/>
                </a:pPr>
                <a:r>
                  <a:rPr lang="en-US"/>
                  <a:t>Milk Production (millions of pounds)</a:t>
                </a:r>
              </a:p>
            </c:rich>
          </c:tx>
          <c:layout/>
          <c:overlay val="1"/>
        </c:title>
        <c:numFmt formatCode="#,##0_);\(#,##0\)" sourceLinked="1"/>
        <c:majorTickMark val="cross"/>
        <c:minorTickMark val="cross"/>
        <c:tickLblPos val="nextTo"/>
        <c:crossAx val="590076312"/>
        <c:crosses val="autoZero"/>
        <c:crossBetween val="midCat"/>
      </c:valAx>
    </c:plotArea>
    <c:plotVisOnly val="1"/>
    <c:dispBlanksAs val="zero"/>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687</Characters>
  <Application>Microsoft Macintosh Word</Application>
  <DocSecurity>0</DocSecurity>
  <Lines>21</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Milk production</vt:lpstr>
      <vt:lpstr>Background: Each year, the US Department of Agriculture collects information abo</vt:lpstr>
      <vt:lpstr>Question: Is the amount of milk that a state produces associated with the number</vt:lpstr>
      <vt:lpstr>Evidence:</vt:lpstr>
    </vt:vector>
  </TitlesOfParts>
  <Company>TrueBody Products</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Polson</dc:creator>
  <cp:keywords/>
  <cp:lastModifiedBy>Hannah Webber</cp:lastModifiedBy>
  <cp:revision>2</cp:revision>
  <dcterms:created xsi:type="dcterms:W3CDTF">2013-11-21T15:55:00Z</dcterms:created>
  <dcterms:modified xsi:type="dcterms:W3CDTF">2013-11-21T15:55:00Z</dcterms:modified>
</cp:coreProperties>
</file>